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307</w:t>
      </w:r>
    </w:p>
    <w:p>
      <w:r>
        <w:t>Bundesgericht (BGE), 1993-03-03, IT</w:t>
      </w:r>
    </w:p>
    <w:p>
      <w:r>
        <w:rPr>
          <w:b/>
        </w:rPr>
        <w:t xml:space="preserve">Quelle: </w:t>
      </w:r>
      <w:r>
        <w:t>https://mcp.opencaselaw.ch/entscheid/bge_119 II 307</w:t>
      </w:r>
    </w:p>
    <w:p>
      <w:r>
        <w:t>FR: ATF 119 II 307</w:t>
      </w:r>
    </w:p>
    <w:p>
      <w:r>
        <w:t>IT: DTF 119 II 307</w:t>
      </w:r>
    </w:p>
    <w:p>
      <w:pPr>
        <w:pStyle w:val="Heading2"/>
      </w:pPr>
      <w:r>
        <w:t>Regeste</w:t>
      </w:r>
    </w:p>
    <w:p>
      <w:r>
        <w:t>Regeste Art. 30 Abs. 1 ZGB. Namenswechsel eines Kindes unverheirateter Eltern. 1. Familienname eines Kindes verheirateter (E. 3b) und eines Kindes unverheirateter Eltern (E. 3c). 2. Mit einer Namensänderung kann einem Kind unverheirateter Eltern nicht ein Doppelname gegeben werden, der sich aus dem Familiennamen des Vaters gefolgt von jenem der Mutter oder umgekehrt zusammensetzt (E. 4).</w:t>
      </w:r>
    </w:p>
    <w:p>
      <w:pPr>
        <w:pStyle w:val="Heading2"/>
      </w:pPr>
      <w:r>
        <w:t>Erwägungen</w:t>
      </w:r>
    </w:p>
    <w:p>
      <w:r>
        <w:rPr>
          <w:b/>
        </w:rPr>
        <w:t>E. 3</w:t>
      </w:r>
    </w:p>
    <w:p>
      <w:r>
        <w:t>a) Il diritto al nome è principalmente istituito nell'interesse dell'individuo e appartiene essenzialmente al diritto privato ( DTF 96 I 428 consid. 1b). Dipende dai diritti della personalità e costituisce un segno distintivo che determina l'identità della persona e indica la sua appartenenza a una famiglia (A. BUCHER, Personnes physiques et protection de la personnalité, 2a ed., n. 760). b) Per cognome coniugale si intende il cognome del marito o il cognome della sposa, qualora un'istanza degli sposi ai sensi dell' art. 30 cpv. 2 CC sia stata accolta. Il cognome, composto dal cognome del marito con l'aggiunta del cognome che la moglie portava da nubile, non è il cognome legale della famiglia, anche se corrisponde a un uso abbastanza corrente e permette talvolta di aumentare il carattere distintivo di cognomi ampiamente diffusi ( DTF 110 II 99 consid. 2). Anche se un coniuge utilizza nei rapporti sociali un cognome composto come appena descritto o se la moglie fa uso della facoltà conferitale dall' art. 160 cpv. 2 CC di anteporre il proprio cognome a quello coniugale, il cognome coniugale rimane quello del marito. Ed è quest'ultimo il cognome che viene assunto alla nascita dal figlio di genitori fra di loro coniugati ( art. 270 cpv. 1 CC ). c) Giusta l' art. 270 cpv. 2 CC , il figlio di genitori non uniti in matrimonio assume il cognome della madre, ma se costei porta un doppio cognome in seguito a un matrimonio precedente, soltanto il primo BGE 119 II 307 S. 309 cognome. Questa soluzione è dettata essenzialmente da motivi di ordine pratico. Se i genitori non hanno lo stesso cognome, è nell'interesse del bambino di avere il cognome del genitore con cui ha i legami più stretti. Di regola, un figlio naturale vive con la madre, presupponendo che i genitori non vivono nella stessa economia domestica. Dal momento che essi, invece, formano, di fatto, una famiglia, niente parrebbe imporre che il figlio acquisti il nome della madre piuttosto di quello del padre con cui intrattiene legami altrettanto stretti (VAN HOBOKEN-DE ERNEY, Familienname und Persönlichkeit. Eine namensrechtliche Untersuchung mit besonderer Berücksichtigung der Namensführung von Frau und Kind, tesi, Zurigo 1984, pag. 229). La giurisprudenza del Tribunale federale ammette, e ciò anche prima dell'entrata in vigore del nuovo diritto matrimoniale, che il figlio di genitori non coniugati può a determinate condizioni - segnatamente la durata e la stabilità del concubinato dei genitori, l'interesse del figlio, l'impossibilità dei genitori di sposarsi - assumere il nome del padre al posto di quello della madre mediante la procedura prevista dall' art. 30 CC (cfr. DTF 96 I 429 consid. 2, DTF 95 II 503 segg., DTF 70 I 216 ). In particolare il Tribunale federale ha considerato che per permettere al figlio naturale o adulterino di dissimulare, nella misura del possibile, la sua nascita illegittima, questi dev'essere autorizzato a acquisire il nome del padre naturale. Infatti il figlio non dev'essere sanzionato per le colpe dei genitori. In seguito tale giurisprudenza si è staccata dal criterio, che voleva la procedura dell' art. 30 CC sussidiaria alle altre vie, in particolare al matrimonio dei genitori naturali, ammettendo che, anche qualora non vi sia alcun impedimento oggettivo a un tale matrimonio, un cambiamento del nome del figlio può essere autorizzato ( DTF 107 II 289 , 105 II 241). Il Tribunale federale ha comunque sempre mantenuto il criterio della stabilità della relazione fra i genitori. La prassi ha ammesso questa possibilità sempre al fine di assimilare la situazione del figlio quanto più possibile a quella di bambini nati da genitori uniti in matrimonio. Attualmente la legislazione come la giurisprudenza tendono a evitare, in caso di rottura del rapporto di concubinato, che il figlio che vive con la madre - come succede nella maggior parte dei casi - abbia un cognome diverso da quello della madre. Tuttavia più l'unione è stabile - e la sua durata può esserne un indizio - meno si impone di far mantenere al figlio il cognome della madre. d) La critica ricorsuale, che vede nella vigente legislazione una lacuna, è pertanto infondata. Da quanto precede è evidente che il Codice civile regola la questione del cognome dei figli naturali, e la BGE 119 II 307 S. 310 giurisprudenza l'ha completata, al fine di tener conto del fatto che molti di essi non vivono in una famiglia monogenitore, ma con entrambi i genitori. Come rettamente rileva il governo cantonale, il ricorrente avrebbe potuto chiedere l'autorizzazione ad assumere il nome del padre.</w:t>
      </w:r>
    </w:p>
    <w:p>
      <w:r>
        <w:rPr>
          <w:b/>
        </w:rPr>
        <w:t>E. 4</w:t>
      </w:r>
    </w:p>
    <w:p>
      <w:r>
        <w:t>a) Il ricorrente sostiene che il cognome che intende assumere non comporta un cambiamento radicale, poiché esso si distanzia meno da quello originario di quanto, invece, sarebbe il caso con l'assunzione del solo cognome del padre, per cui esso dovrebbe essere concesso più facilmente. Inoltre un cognome doppio permette di mettere in evidenza la discendenza da entrambi i genitori. L'argomentazione ricorsuale misconosce le ragioni che hanno portato il Tribunale federale ad ammettere il cambiamento del nome di figli nati da genitori non uniti in matrimonio. La ratio della giurisprudenza illustrata nel precedente considerando ne costituisce anche il limite. Come già precisato, la prassi permette l'assunzione del nome del padre, che vive con la madre e il figlio nella medesima economia domestica, unicamente per evitare a quest'ultimo eventuali inconvenienti, che potrebbero scaturire dal fatto che i suoi genitori non sono coniugati. Infatti nonostante una liberalizzazione dei costumi, non è possibile escludere una discriminizzazione sociale dei figli nati fuori dal matrimonio. Si tratta dunque di avvicinare il più possibile lo statuto del figlio naturale a quello di figli di genitori fra loro sposati, anche se tuttavia occorre riconoscere che l'unità del cognome di una famiglia di fatto è realizzata in modo insoddisfacente, poiché la madre continua ad avere un cognome differente. b) A giusto titolo, poi, il Consiglio di Stato osserva che la soluzione prospettata dal ricorrente non è prevista né dal Codice civile né dalla giurisprudenza. La richiesta del ricorrente non gli permetterebbe di avere un nome che lo assimilerebbe a un membro di una famiglia composta da genitori coniugati, ma al contrario ne accrescerebbe lo statuto particolare, rivelando definitivamente la sua nascita fuori dal matrimonio. Inoltre, come indica l'Ufficio federale di giustizia, nella fattispecie si creerebbe una famiglia nella quale non esiste alcun cognome comune, tranne quello del padre e le sue due figlie di primo letto. È del resto, se contrariamente a quanto prospettato dai genitori del ricorrente, essi si dovessero un giorno sposare e avere altri figli comuni, quest'ultimi non potrebbero avere lo stesso cognome dell'istante. Questo fatto darebbe luogo a un'ineguaglianza di trattamento fra i discendenti di una medesima famiglia e più in generale fra figli di genitori coniugati e figli di persone che BGE 119 II 307 S. 311 vivono in concubinato. Infatti a quest'ultimi verrebbe data la possibilità di assumere sia il cognome del padre che quello della madre, mentre la legislazione vigente non lo permette ai primi. Nella fattispecie non si vede poi quale sia per il ricorrente l'interesse - che prevale su quello pubblico dell'immutabilità del nome ( DTF 107 II 291 ) - ad avere un cognome diverso da tutti gli altri componenti dell'economia domestica in cui vive. c) Se si può concordare con il ricorrente che il nuovo diritto di famiglia non realizza l'intento della parità fra donna e uomo per quanto concerne la trasmissione del cognome (cfr. DTF 115 II 201 consid. d), è necessario ricordare che il Tribunale federale, in virtù dell' art. 113 cpv. 3 Cost. , deve applicare le leggi federali anche qualora esse non dovessero rispettare la Costituzione. È pertanto inutile il riferimento ricorsuale a una decisione del Bundesverfassungsgericht germanico su questo punto, poiché la Corte appena menzionata può esaminare la costituzionalità delle leggi. Inoltre il ricorrente non è che toccato indirettamente da questa disparità di trattamento e non è quindi legittimato a invocarla in suo favore. Infatti vittima della ineguaglianza citata dal ricorrente è innanzi tutto la donna, che sposandosi non può né mantenere né trasmettere ai figli il proprio cognome. Nemmeno la dottrina si rivela insensibile a tali argomenti. A. BUCHER, ad esempio, ritiene inevitabile una revisione della legge (op.cit., n. 779). Tuttavia non esiste nessun autore che sostiene, per il diritto svizzero, la tesi del ricorrente tendente all'assunzione, da parte del figlio di genitori non coniugati, sia del cognome del padre che quello della madre. D'altra parte la domanda principale corrisponde al cognome composto dei genitori (Gianettoni-Fornaciarini), se essi fossero sposati, mentre quella sussidiaria (Fornaciarini-Gianettoni), potrebbe creare della confusione supplementare, poiché esso potrebbe essere scambiato con un cognome coniugale composto e far apparire il cognome Fornaciarini come quello del padre. d) Nemmeno la CEDU dà conforto alle argomentazioni ricorsuali. A. HÄFLIGER - citando la decisione della Commissione europea dei diritti dell'uomo n. 8042/77 (DR 12, pag. 202) emanata prima dell'entrata in vigore del nuovo diritto matrimoniale svizzero - indica che il fatto di rendere facilmente identificabili i membri di una famiglia giustifica l'imposizione del nome del marito alla moglie e ai figli senza ledere l' art. 14 CEDU (Die Europäische Menschenrechtskonvention und die Schweiz, Berna 1993, pag. 261). Più recentemente la Commissione nel suo rapporto del 21 ottobre 1992 nel caso Burghartz e Schnyder Burghartz c. Svizzera (la decisione BGE 119 II 307 S. 312 impugnata è pubblicata in DTF 115 II 193 segg.), attualmente pendente presso la Corte europea, non ha criticato il fatto che i figli di genitori uniti in matrimonio portano sempre il cognome coniugale. e) Pur essendo esatto che in Svizzera esistono, anche se non frequenti, dei cognomi formati da due cognomi (ad esempio: Ressiga-Vacchini, Aostalli-Adamini, Robert-Tissot, Rey-Mermet), occorre tuttavia riconoscere che il diritto svizzero è fondato sul principio della trasmissione ai discendenti di un solo cognome. Del resto, il ricorrente, menzionando la possibilità della donna coniugata di mantenere il proprio cognome anteponendolo a quello del marito, misconosce il fatto che tale cognome non costituisce il cognome coniugale che è trasmesso ai figli. Inoltre, come rileva giustamente l'Ufficio federale di giustizia, il grave motivo deve riferirsi anche al nome richiesto. In concreto non si può sostenere che sia nell'interesse del figlio di pronunciare e scrivere la combinazione dei due cognomi, di cui uno è composto da quattro e l'altro da cinque sillabe. Del resto, secondo A. BUCHER, i cognomi composti assunti da numerose donne sono spesso lunghi e difficili da ricordare, con la conseguenza che l'uso corrente è di amputarne una parte (op.cit., n. 779).</w:t>
      </w:r>
    </w:p>
    <w:p>
      <w:r>
        <w:rPr>
          <w:b/>
        </w:rPr>
        <w:t>E. 5</w:t>
      </w:r>
    </w:p>
    <w:p>
      <w:r>
        <w:t>Infine il ricorrente afferma che la decisione impugnata viola una Convenzione delle Nazioni Unite sui diritti dell'infanzia. In linea di principio una siffatta censura è ricevibile, poiché pure i trattati internazionali costituiscono del diritto federale ai sensi dell' art. 43 cpv. 1 OG . Tuttavia tale critica si rivela infondata, poiché la Convenzione non è ancora stata ratificata dalla Svizzera. Il ricorso deve pertanto essere respinto, non essendovi dei gravi motivi, come prescritto dall' art. 30 cpv. 1 CC , per concedere il cambiamento del nome.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